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A4" w:rsidRPr="009F64B3" w:rsidRDefault="00550FA4" w:rsidP="00550FA4">
      <w:pPr>
        <w:pStyle w:val="1"/>
        <w:rPr>
          <w:color w:val="auto"/>
          <w:sz w:val="36"/>
          <w:szCs w:val="24"/>
        </w:rPr>
      </w:pPr>
      <w:r w:rsidRPr="009F64B3">
        <w:rPr>
          <w:color w:val="auto"/>
          <w:sz w:val="36"/>
          <w:szCs w:val="24"/>
        </w:rPr>
        <w:t>Подготовка к экскреторной урографии:</w:t>
      </w:r>
    </w:p>
    <w:p w:rsidR="00550FA4" w:rsidRPr="009F64B3" w:rsidRDefault="00550FA4" w:rsidP="00550FA4">
      <w:pPr>
        <w:rPr>
          <w:b/>
          <w:sz w:val="28"/>
          <w:szCs w:val="24"/>
        </w:rPr>
      </w:pPr>
    </w:p>
    <w:p w:rsidR="00550FA4" w:rsidRPr="009F64B3" w:rsidRDefault="00550FA4" w:rsidP="00550FA4">
      <w:pPr>
        <w:rPr>
          <w:b/>
          <w:sz w:val="28"/>
          <w:szCs w:val="24"/>
        </w:rPr>
      </w:pPr>
      <w:r w:rsidRPr="009F64B3">
        <w:rPr>
          <w:b/>
          <w:sz w:val="28"/>
          <w:szCs w:val="24"/>
        </w:rPr>
        <w:t>1. Диета</w:t>
      </w:r>
    </w:p>
    <w:p w:rsidR="00550FA4" w:rsidRPr="009F64B3" w:rsidRDefault="00550FA4" w:rsidP="00550FA4">
      <w:pPr>
        <w:rPr>
          <w:sz w:val="28"/>
          <w:szCs w:val="24"/>
        </w:rPr>
      </w:pPr>
      <w:r w:rsidRPr="009F64B3">
        <w:rPr>
          <w:sz w:val="28"/>
          <w:szCs w:val="24"/>
        </w:rPr>
        <w:t>За 2-3 дня до исследования исключить из рациона продукты богатые клетчаткой, вызывающих брожение, отдать предпочтение употреблению жидких блюд. Исключить из питания сырые овощи, соки, цельное коровье молоко, черный хлеб, газированные напитки, орехи. Утром - легкий сухой завтрак (стакан сладкого чая и бутерброд с белым хлебом);</w:t>
      </w:r>
    </w:p>
    <w:p w:rsidR="00550FA4" w:rsidRPr="009F64B3" w:rsidRDefault="00550FA4" w:rsidP="00550FA4">
      <w:pPr>
        <w:rPr>
          <w:b/>
          <w:sz w:val="28"/>
          <w:szCs w:val="24"/>
        </w:rPr>
      </w:pPr>
      <w:r w:rsidRPr="009F64B3">
        <w:rPr>
          <w:b/>
          <w:sz w:val="28"/>
          <w:szCs w:val="24"/>
        </w:rPr>
        <w:t>2. Прием сорбентов и препаратов, снижающих газообразование</w:t>
      </w:r>
    </w:p>
    <w:p w:rsidR="00550FA4" w:rsidRPr="009F64B3" w:rsidRDefault="00550FA4" w:rsidP="00550FA4">
      <w:pPr>
        <w:rPr>
          <w:sz w:val="28"/>
          <w:szCs w:val="24"/>
        </w:rPr>
      </w:pPr>
      <w:r w:rsidRPr="009F64B3">
        <w:rPr>
          <w:sz w:val="28"/>
          <w:szCs w:val="24"/>
        </w:rPr>
        <w:t>— препараты симетикона — саб-симплекс, эспумизан 5–10 мл</w:t>
      </w:r>
      <w:r w:rsidRPr="009F64B3">
        <w:rPr>
          <w:sz w:val="28"/>
          <w:szCs w:val="24"/>
        </w:rPr>
        <w:br/>
        <w:t>— активированный уголь по 0,5 г — 4 раза в день (за три дня до исследования)</w:t>
      </w:r>
    </w:p>
    <w:p w:rsidR="00550FA4" w:rsidRPr="009F64B3" w:rsidRDefault="00550FA4" w:rsidP="00550FA4">
      <w:pPr>
        <w:rPr>
          <w:b/>
          <w:sz w:val="28"/>
          <w:szCs w:val="24"/>
        </w:rPr>
      </w:pPr>
      <w:r w:rsidRPr="009F64B3">
        <w:rPr>
          <w:b/>
          <w:sz w:val="28"/>
          <w:szCs w:val="24"/>
        </w:rPr>
        <w:t>3. Использование очистительной клизмы:</w:t>
      </w:r>
    </w:p>
    <w:p w:rsidR="00550FA4" w:rsidRPr="009F64B3" w:rsidRDefault="00550FA4" w:rsidP="00550FA4">
      <w:pPr>
        <w:rPr>
          <w:sz w:val="28"/>
          <w:szCs w:val="24"/>
        </w:rPr>
      </w:pPr>
      <w:r w:rsidRPr="009F64B3">
        <w:rPr>
          <w:sz w:val="28"/>
          <w:szCs w:val="24"/>
        </w:rPr>
        <w:t>одна накануне исследования вечером, вторая за 1 час до исследования;</w:t>
      </w:r>
    </w:p>
    <w:p w:rsidR="00550FA4" w:rsidRPr="009F64B3" w:rsidRDefault="00550FA4" w:rsidP="00550FA4">
      <w:pPr>
        <w:rPr>
          <w:b/>
          <w:sz w:val="28"/>
          <w:szCs w:val="24"/>
        </w:rPr>
      </w:pPr>
      <w:r w:rsidRPr="009F64B3">
        <w:rPr>
          <w:b/>
          <w:sz w:val="28"/>
          <w:szCs w:val="24"/>
        </w:rPr>
        <w:t>4. Слабительные препараты (принимать один из предложенных препаратов):</w:t>
      </w:r>
    </w:p>
    <w:p w:rsidR="00550FA4" w:rsidRPr="009F64B3" w:rsidRDefault="00550FA4" w:rsidP="00550FA4">
      <w:pPr>
        <w:rPr>
          <w:sz w:val="28"/>
          <w:szCs w:val="24"/>
        </w:rPr>
      </w:pPr>
      <w:r w:rsidRPr="009F64B3">
        <w:rPr>
          <w:sz w:val="28"/>
          <w:szCs w:val="24"/>
        </w:rPr>
        <w:t>Фортране:  1–4 пакета в зависимости от выраженности запоров (1 пакет на литр воды).</w:t>
      </w:r>
    </w:p>
    <w:p w:rsidR="00550FA4" w:rsidRPr="009F64B3" w:rsidRDefault="00550FA4" w:rsidP="00550FA4">
      <w:pPr>
        <w:rPr>
          <w:sz w:val="28"/>
          <w:szCs w:val="24"/>
        </w:rPr>
      </w:pPr>
      <w:r w:rsidRPr="009F64B3">
        <w:rPr>
          <w:sz w:val="28"/>
          <w:szCs w:val="24"/>
        </w:rPr>
        <w:t>— если исследование запланировано на утро — 1 пакет в три часа дня растворить в 1 литре воды, выпить в течение 1 часа (разбить на 4 порции по 250 мл, 1 порцию в  15 мин);</w:t>
      </w:r>
      <w:r w:rsidRPr="009F64B3">
        <w:rPr>
          <w:sz w:val="28"/>
          <w:szCs w:val="24"/>
        </w:rPr>
        <w:br/>
        <w:t xml:space="preserve">— если исследование запланировано на вечер - в три часа дня </w:t>
      </w:r>
      <w:r w:rsidR="00D04A41">
        <w:rPr>
          <w:sz w:val="28"/>
          <w:szCs w:val="24"/>
        </w:rPr>
        <w:t>пол</w:t>
      </w:r>
      <w:r w:rsidRPr="009F64B3">
        <w:rPr>
          <w:sz w:val="28"/>
          <w:szCs w:val="24"/>
        </w:rPr>
        <w:t xml:space="preserve"> пакета растворить в половине литра воды и выпить в течение 1 часа (2 порции по  250 мл), </w:t>
      </w:r>
      <w:r w:rsidR="00D04A41">
        <w:rPr>
          <w:sz w:val="28"/>
          <w:szCs w:val="24"/>
        </w:rPr>
        <w:t>пол</w:t>
      </w:r>
      <w:bookmarkStart w:id="0" w:name="_GoBack"/>
      <w:bookmarkEnd w:id="0"/>
      <w:r w:rsidRPr="009F64B3">
        <w:rPr>
          <w:sz w:val="28"/>
          <w:szCs w:val="24"/>
        </w:rPr>
        <w:t xml:space="preserve"> пакета в 7 утра в день исследования в течение 1 часа (еще 2 порции по 250 мл);</w:t>
      </w:r>
      <w:r w:rsidRPr="009F64B3">
        <w:rPr>
          <w:sz w:val="28"/>
          <w:szCs w:val="24"/>
        </w:rPr>
        <w:br/>
        <w:t>— либо:  2 пакета за день до исследования - первый в 15 часов (дробно 4 порции по 250 мл с промежутком в  15 мин), второй в 21 час (4 порции по 250 мл с тем же промежутком), третий утром в день исследования в 7 утра (4 порции по 250 мл с тем же промежутком).</w:t>
      </w:r>
    </w:p>
    <w:p w:rsidR="00550FA4" w:rsidRPr="009F64B3" w:rsidRDefault="00550FA4" w:rsidP="00550FA4">
      <w:pPr>
        <w:rPr>
          <w:sz w:val="28"/>
          <w:szCs w:val="24"/>
        </w:rPr>
      </w:pPr>
      <w:r w:rsidRPr="009F64B3">
        <w:rPr>
          <w:sz w:val="28"/>
          <w:szCs w:val="24"/>
        </w:rPr>
        <w:t>Фортране противопоказан больным с сердечной недостаточностью, неспецифическим язвенным колитом, болезнью Крона, непроходимостью кишечника, болями в области живота неустановленной этиологии.</w:t>
      </w:r>
    </w:p>
    <w:p w:rsidR="00550FA4" w:rsidRPr="009F64B3" w:rsidRDefault="00550FA4" w:rsidP="00550FA4">
      <w:pPr>
        <w:rPr>
          <w:sz w:val="28"/>
          <w:szCs w:val="24"/>
        </w:rPr>
      </w:pPr>
      <w:r w:rsidRPr="009F64B3">
        <w:rPr>
          <w:sz w:val="28"/>
          <w:szCs w:val="24"/>
        </w:rPr>
        <w:t>Форлакс: 1 пакет растворить на 250 мл воды. 2 пакета накануне исследования вечером (в 21 час), 2 пакета в день исследования утром (в 7 час)+ очистительная клизма за час до исследования.</w:t>
      </w:r>
    </w:p>
    <w:p w:rsidR="00550FA4" w:rsidRPr="009F64B3" w:rsidRDefault="00550FA4" w:rsidP="00550FA4">
      <w:pPr>
        <w:rPr>
          <w:sz w:val="28"/>
          <w:szCs w:val="24"/>
        </w:rPr>
      </w:pPr>
      <w:r w:rsidRPr="009F64B3">
        <w:rPr>
          <w:sz w:val="28"/>
          <w:szCs w:val="24"/>
        </w:rPr>
        <w:lastRenderedPageBreak/>
        <w:t>Дюфалак (сироп): общее количество — 40–60 мл. За 5-6 часов до исследования принимать дробно, по 20–30 мл (1 порция в 30 минут, всего 2–3 порции) + очистительная клизма за 1 час до исследования. Каждая порция дюфалака запивается 1–2 стаканами воды.</w:t>
      </w:r>
    </w:p>
    <w:p w:rsidR="00550FA4" w:rsidRPr="009F64B3" w:rsidRDefault="00550FA4" w:rsidP="00550FA4">
      <w:pPr>
        <w:rPr>
          <w:sz w:val="28"/>
          <w:szCs w:val="24"/>
        </w:rPr>
      </w:pPr>
      <w:r w:rsidRPr="009F64B3">
        <w:rPr>
          <w:sz w:val="28"/>
          <w:szCs w:val="24"/>
        </w:rPr>
        <w:t>ФЛИТ: День перед процедурой:</w:t>
      </w:r>
    </w:p>
    <w:p w:rsidR="00550FA4" w:rsidRPr="009F64B3" w:rsidRDefault="00550FA4" w:rsidP="00550FA4">
      <w:pPr>
        <w:rPr>
          <w:sz w:val="28"/>
          <w:szCs w:val="24"/>
        </w:rPr>
      </w:pPr>
      <w:r w:rsidRPr="009F64B3">
        <w:rPr>
          <w:sz w:val="28"/>
          <w:szCs w:val="24"/>
        </w:rPr>
        <w:t>7:00 вместо завтрака выпить один стакан (или более) жидкости: сок, чай, вода.</w:t>
      </w:r>
    </w:p>
    <w:p w:rsidR="00550FA4" w:rsidRPr="009F64B3" w:rsidRDefault="00550FA4" w:rsidP="00550FA4">
      <w:pPr>
        <w:rPr>
          <w:sz w:val="28"/>
          <w:szCs w:val="24"/>
        </w:rPr>
      </w:pPr>
      <w:r w:rsidRPr="009F64B3">
        <w:rPr>
          <w:sz w:val="28"/>
          <w:szCs w:val="24"/>
        </w:rPr>
        <w:t>Первая доза препарата: принимается непосредственно после завтрака. Для этого необходимо растворить содержимое одного флакона (45 мл) в половине стакана (120 мл) холодной воды. Выпить раствор и запить одним или более стаканом (240 мл) холодной воды.</w:t>
      </w:r>
    </w:p>
    <w:p w:rsidR="00550FA4" w:rsidRPr="009F64B3" w:rsidRDefault="00550FA4" w:rsidP="00550FA4">
      <w:pPr>
        <w:rPr>
          <w:sz w:val="28"/>
          <w:szCs w:val="24"/>
        </w:rPr>
      </w:pPr>
      <w:r w:rsidRPr="009F64B3">
        <w:rPr>
          <w:sz w:val="28"/>
          <w:szCs w:val="24"/>
        </w:rPr>
        <w:t>13:00 следует выпить три стакана (720 мл) воды.</w:t>
      </w:r>
      <w:r w:rsidR="005E7C57" w:rsidRPr="00D04A41">
        <w:rPr>
          <w:sz w:val="28"/>
          <w:szCs w:val="24"/>
        </w:rPr>
        <w:br/>
      </w:r>
      <w:r w:rsidRPr="009F64B3">
        <w:rPr>
          <w:sz w:val="28"/>
          <w:szCs w:val="24"/>
        </w:rPr>
        <w:t>19:00 выпить один стакан воды. Вторая доза препарата: принимается непосредственно после ужина. Растворить содержимое второго флакона (45 мл) в половине стакана (120 мл) холодной воды. Выпить раствор и запить одним или более стаканом (240 мл) холодной воды. При желании можно выпить больший объем жидкости.</w:t>
      </w:r>
    </w:p>
    <w:p w:rsidR="00550FA4" w:rsidRPr="009F64B3" w:rsidRDefault="00550FA4" w:rsidP="00550FA4">
      <w:pPr>
        <w:rPr>
          <w:b/>
          <w:sz w:val="28"/>
          <w:szCs w:val="24"/>
        </w:rPr>
      </w:pPr>
      <w:r w:rsidRPr="009F64B3">
        <w:rPr>
          <w:b/>
          <w:sz w:val="28"/>
          <w:szCs w:val="24"/>
        </w:rPr>
        <w:t>Схемы:</w:t>
      </w:r>
    </w:p>
    <w:p w:rsidR="00550FA4" w:rsidRPr="009F64B3" w:rsidRDefault="00550FA4" w:rsidP="00550FA4">
      <w:pPr>
        <w:pStyle w:val="a3"/>
        <w:numPr>
          <w:ilvl w:val="0"/>
          <w:numId w:val="6"/>
        </w:numPr>
        <w:rPr>
          <w:sz w:val="28"/>
          <w:szCs w:val="24"/>
        </w:rPr>
      </w:pPr>
      <w:r w:rsidRPr="009F64B3">
        <w:rPr>
          <w:sz w:val="28"/>
          <w:szCs w:val="24"/>
        </w:rPr>
        <w:t>Диета + клизма (вечером накануне и утром за 1 час до исследования)</w:t>
      </w:r>
    </w:p>
    <w:p w:rsidR="00550FA4" w:rsidRPr="009F64B3" w:rsidRDefault="00550FA4" w:rsidP="00550FA4">
      <w:pPr>
        <w:pStyle w:val="a3"/>
        <w:numPr>
          <w:ilvl w:val="0"/>
          <w:numId w:val="6"/>
        </w:numPr>
        <w:rPr>
          <w:sz w:val="28"/>
          <w:szCs w:val="24"/>
        </w:rPr>
      </w:pPr>
      <w:r w:rsidRPr="009F64B3">
        <w:rPr>
          <w:sz w:val="28"/>
          <w:szCs w:val="24"/>
        </w:rPr>
        <w:t>Диета + сорбенты за 2-3 дня до исследования</w:t>
      </w:r>
    </w:p>
    <w:p w:rsidR="00550FA4" w:rsidRPr="009F64B3" w:rsidRDefault="00550FA4" w:rsidP="00550FA4">
      <w:pPr>
        <w:pStyle w:val="a3"/>
        <w:numPr>
          <w:ilvl w:val="0"/>
          <w:numId w:val="6"/>
        </w:numPr>
        <w:rPr>
          <w:sz w:val="28"/>
          <w:szCs w:val="24"/>
        </w:rPr>
      </w:pPr>
      <w:r w:rsidRPr="009F64B3">
        <w:rPr>
          <w:sz w:val="28"/>
          <w:szCs w:val="24"/>
        </w:rPr>
        <w:t>Диета + слабительные препараты накануне вечером (+ утром при отдельных схемах)</w:t>
      </w:r>
    </w:p>
    <w:p w:rsidR="00550FA4" w:rsidRPr="009F64B3" w:rsidRDefault="00550FA4" w:rsidP="00550FA4">
      <w:pPr>
        <w:pStyle w:val="a3"/>
        <w:numPr>
          <w:ilvl w:val="0"/>
          <w:numId w:val="6"/>
        </w:numPr>
        <w:rPr>
          <w:sz w:val="28"/>
          <w:szCs w:val="24"/>
        </w:rPr>
      </w:pPr>
      <w:r w:rsidRPr="009F64B3">
        <w:rPr>
          <w:sz w:val="28"/>
          <w:szCs w:val="24"/>
        </w:rPr>
        <w:t>Диета + сорбенты + слабительное (вечером) + клизма за 1 час перед исследованием</w:t>
      </w:r>
    </w:p>
    <w:p w:rsidR="00550FA4" w:rsidRPr="009F64B3" w:rsidRDefault="00550FA4" w:rsidP="00550FA4">
      <w:pPr>
        <w:pStyle w:val="a3"/>
        <w:numPr>
          <w:ilvl w:val="0"/>
          <w:numId w:val="6"/>
        </w:numPr>
        <w:rPr>
          <w:sz w:val="28"/>
          <w:szCs w:val="24"/>
        </w:rPr>
      </w:pPr>
      <w:r w:rsidRPr="009F64B3">
        <w:rPr>
          <w:sz w:val="28"/>
          <w:szCs w:val="24"/>
        </w:rPr>
        <w:t>Перед исследованием необходимо опорожнить мочевой пузырь.</w:t>
      </w:r>
    </w:p>
    <w:p w:rsidR="00550FA4" w:rsidRPr="009F64B3" w:rsidRDefault="00550FA4" w:rsidP="00550FA4">
      <w:pPr>
        <w:rPr>
          <w:b/>
          <w:sz w:val="28"/>
          <w:szCs w:val="24"/>
        </w:rPr>
      </w:pPr>
      <w:r w:rsidRPr="009F64B3">
        <w:rPr>
          <w:b/>
          <w:sz w:val="28"/>
          <w:szCs w:val="24"/>
        </w:rPr>
        <w:t>Противопоказания к проведению экскреторной урографии:</w:t>
      </w:r>
    </w:p>
    <w:p w:rsidR="00550FA4" w:rsidRPr="009F64B3" w:rsidRDefault="00550FA4" w:rsidP="00550FA4">
      <w:pPr>
        <w:pStyle w:val="a3"/>
        <w:numPr>
          <w:ilvl w:val="0"/>
          <w:numId w:val="5"/>
        </w:numPr>
        <w:rPr>
          <w:sz w:val="28"/>
          <w:szCs w:val="24"/>
        </w:rPr>
      </w:pPr>
      <w:r w:rsidRPr="009F64B3">
        <w:rPr>
          <w:sz w:val="28"/>
          <w:szCs w:val="24"/>
        </w:rPr>
        <w:t>тяжелые заболевания органов мочевой системы с нарушением азотовыделительной функции почек;</w:t>
      </w:r>
    </w:p>
    <w:p w:rsidR="00550FA4" w:rsidRPr="009F64B3" w:rsidRDefault="00550FA4" w:rsidP="00550FA4">
      <w:pPr>
        <w:pStyle w:val="a3"/>
        <w:numPr>
          <w:ilvl w:val="0"/>
          <w:numId w:val="5"/>
        </w:numPr>
        <w:rPr>
          <w:sz w:val="28"/>
          <w:szCs w:val="24"/>
        </w:rPr>
      </w:pPr>
      <w:r w:rsidRPr="009F64B3">
        <w:rPr>
          <w:sz w:val="28"/>
          <w:szCs w:val="24"/>
        </w:rPr>
        <w:t>острая и хроническая почечная недостаточность (концентрация креатинина крови должна быть не более 115 ммоль/л);</w:t>
      </w:r>
    </w:p>
    <w:p w:rsidR="00550FA4" w:rsidRPr="009F64B3" w:rsidRDefault="00550FA4" w:rsidP="00550FA4">
      <w:pPr>
        <w:pStyle w:val="a3"/>
        <w:numPr>
          <w:ilvl w:val="0"/>
          <w:numId w:val="5"/>
        </w:numPr>
        <w:rPr>
          <w:sz w:val="28"/>
          <w:szCs w:val="24"/>
        </w:rPr>
      </w:pPr>
      <w:r w:rsidRPr="009F64B3">
        <w:rPr>
          <w:sz w:val="28"/>
          <w:szCs w:val="24"/>
        </w:rPr>
        <w:t>выраженная активность паренхиматозных заболеваний почек;</w:t>
      </w:r>
    </w:p>
    <w:p w:rsidR="00550FA4" w:rsidRPr="009F64B3" w:rsidRDefault="00550FA4" w:rsidP="00550FA4">
      <w:pPr>
        <w:pStyle w:val="a3"/>
        <w:numPr>
          <w:ilvl w:val="0"/>
          <w:numId w:val="5"/>
        </w:numPr>
        <w:rPr>
          <w:sz w:val="28"/>
          <w:szCs w:val="24"/>
        </w:rPr>
      </w:pPr>
      <w:r w:rsidRPr="009F64B3">
        <w:rPr>
          <w:sz w:val="28"/>
          <w:szCs w:val="24"/>
        </w:rPr>
        <w:t>аллергия на рентгеноконтрастные вещества и препараты йода;</w:t>
      </w:r>
    </w:p>
    <w:p w:rsidR="00550FA4" w:rsidRPr="009F64B3" w:rsidRDefault="00550FA4" w:rsidP="00550FA4">
      <w:pPr>
        <w:pStyle w:val="a3"/>
        <w:numPr>
          <w:ilvl w:val="0"/>
          <w:numId w:val="5"/>
        </w:numPr>
        <w:rPr>
          <w:sz w:val="28"/>
          <w:szCs w:val="24"/>
        </w:rPr>
      </w:pPr>
      <w:r w:rsidRPr="009F64B3">
        <w:rPr>
          <w:sz w:val="28"/>
          <w:szCs w:val="24"/>
        </w:rPr>
        <w:t>тяжелые поражения печени с функциональной недостаточностью;</w:t>
      </w:r>
    </w:p>
    <w:p w:rsidR="00550FA4" w:rsidRPr="009F64B3" w:rsidRDefault="00550FA4" w:rsidP="00550FA4">
      <w:pPr>
        <w:pStyle w:val="a3"/>
        <w:numPr>
          <w:ilvl w:val="0"/>
          <w:numId w:val="5"/>
        </w:numPr>
        <w:rPr>
          <w:sz w:val="28"/>
          <w:szCs w:val="24"/>
        </w:rPr>
      </w:pPr>
      <w:r w:rsidRPr="009F64B3">
        <w:rPr>
          <w:sz w:val="28"/>
          <w:szCs w:val="24"/>
        </w:rPr>
        <w:t>коллапс и шок (АД ниже 80/50 мм.рт.ст);</w:t>
      </w:r>
    </w:p>
    <w:p w:rsidR="00550FA4" w:rsidRPr="009F64B3" w:rsidRDefault="00550FA4" w:rsidP="00550FA4">
      <w:pPr>
        <w:pStyle w:val="a3"/>
        <w:numPr>
          <w:ilvl w:val="0"/>
          <w:numId w:val="5"/>
        </w:numPr>
        <w:rPr>
          <w:sz w:val="28"/>
          <w:szCs w:val="24"/>
        </w:rPr>
      </w:pPr>
      <w:r w:rsidRPr="009F64B3">
        <w:rPr>
          <w:sz w:val="28"/>
          <w:szCs w:val="24"/>
        </w:rPr>
        <w:t>тиреотоксикоз.</w:t>
      </w:r>
    </w:p>
    <w:p w:rsidR="0046545F" w:rsidRPr="009F64B3" w:rsidRDefault="00550FA4" w:rsidP="00550FA4">
      <w:pPr>
        <w:pStyle w:val="a3"/>
        <w:numPr>
          <w:ilvl w:val="0"/>
          <w:numId w:val="5"/>
        </w:numPr>
        <w:rPr>
          <w:sz w:val="28"/>
          <w:szCs w:val="24"/>
        </w:rPr>
      </w:pPr>
      <w:r w:rsidRPr="009F64B3">
        <w:rPr>
          <w:sz w:val="28"/>
          <w:szCs w:val="24"/>
        </w:rPr>
        <w:t>беременность</w:t>
      </w:r>
    </w:p>
    <w:sectPr w:rsidR="0046545F" w:rsidRPr="009F64B3" w:rsidSect="00550FA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3">
    <w:nsid w:val="2A0E0C98"/>
    <w:multiLevelType w:val="multilevel"/>
    <w:tmpl w:val="00000000"/>
    <w:lvl w:ilvl="0">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1">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2">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3">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4">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5">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6">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7">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lvl w:ilvl="8">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9"/>
        <w:szCs w:val="19"/>
        <w:u w:val="none"/>
      </w:rPr>
    </w:lvl>
  </w:abstractNum>
  <w:abstractNum w:abstractNumId="4">
    <w:nsid w:val="2B1F7102"/>
    <w:multiLevelType w:val="hybridMultilevel"/>
    <w:tmpl w:val="535EB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4B23B9"/>
    <w:multiLevelType w:val="hybridMultilevel"/>
    <w:tmpl w:val="5E58D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A4"/>
    <w:rsid w:val="0046545F"/>
    <w:rsid w:val="00550FA4"/>
    <w:rsid w:val="005E7C57"/>
    <w:rsid w:val="009446E0"/>
    <w:rsid w:val="009F64B3"/>
    <w:rsid w:val="00D0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0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rsid w:val="00550FA4"/>
    <w:rPr>
      <w:rFonts w:ascii="Microsoft Sans Serif" w:hAnsi="Microsoft Sans Serif" w:cs="Microsoft Sans Serif"/>
      <w:b/>
      <w:bCs/>
      <w:sz w:val="19"/>
      <w:szCs w:val="19"/>
      <w:shd w:val="clear" w:color="auto" w:fill="FFFFFF"/>
    </w:rPr>
  </w:style>
  <w:style w:type="character" w:customStyle="1" w:styleId="21">
    <w:name w:val="Основной текст (2)_"/>
    <w:link w:val="22"/>
    <w:uiPriority w:val="99"/>
    <w:rsid w:val="00550FA4"/>
    <w:rPr>
      <w:rFonts w:ascii="Microsoft Sans Serif" w:hAnsi="Microsoft Sans Serif" w:cs="Microsoft Sans Serif"/>
      <w:sz w:val="19"/>
      <w:szCs w:val="19"/>
      <w:shd w:val="clear" w:color="auto" w:fill="FFFFFF"/>
    </w:rPr>
  </w:style>
  <w:style w:type="character" w:customStyle="1" w:styleId="2CenturySchoolbook">
    <w:name w:val="Основной текст (2) + Century Schoolbook"/>
    <w:aliases w:val="7,5 pt,Курсив,Интервал -1 pt"/>
    <w:uiPriority w:val="99"/>
    <w:rsid w:val="00550FA4"/>
    <w:rPr>
      <w:rFonts w:ascii="Century Schoolbook" w:hAnsi="Century Schoolbook" w:cs="Century Schoolbook"/>
      <w:i/>
      <w:iCs/>
      <w:spacing w:val="-20"/>
      <w:sz w:val="15"/>
      <w:szCs w:val="15"/>
      <w:shd w:val="clear" w:color="auto" w:fill="FFFFFF"/>
    </w:rPr>
  </w:style>
  <w:style w:type="character" w:customStyle="1" w:styleId="27">
    <w:name w:val="Основной текст (2) + 7"/>
    <w:aliases w:val="5 pt1"/>
    <w:uiPriority w:val="99"/>
    <w:rsid w:val="00550FA4"/>
    <w:rPr>
      <w:rFonts w:ascii="Microsoft Sans Serif" w:hAnsi="Microsoft Sans Serif" w:cs="Microsoft Sans Serif"/>
      <w:sz w:val="15"/>
      <w:szCs w:val="15"/>
      <w:shd w:val="clear" w:color="auto" w:fill="FFFFFF"/>
    </w:rPr>
  </w:style>
  <w:style w:type="paragraph" w:customStyle="1" w:styleId="40">
    <w:name w:val="Основной текст (4)"/>
    <w:basedOn w:val="a"/>
    <w:link w:val="4"/>
    <w:uiPriority w:val="99"/>
    <w:rsid w:val="00550FA4"/>
    <w:pPr>
      <w:widowControl w:val="0"/>
      <w:shd w:val="clear" w:color="auto" w:fill="FFFFFF"/>
      <w:spacing w:before="1140" w:after="600" w:line="240" w:lineRule="atLeast"/>
      <w:jc w:val="both"/>
    </w:pPr>
    <w:rPr>
      <w:rFonts w:ascii="Microsoft Sans Serif" w:hAnsi="Microsoft Sans Serif" w:cs="Microsoft Sans Serif"/>
      <w:b/>
      <w:bCs/>
      <w:sz w:val="19"/>
      <w:szCs w:val="19"/>
    </w:rPr>
  </w:style>
  <w:style w:type="paragraph" w:customStyle="1" w:styleId="22">
    <w:name w:val="Основной текст (2)"/>
    <w:basedOn w:val="a"/>
    <w:link w:val="21"/>
    <w:uiPriority w:val="99"/>
    <w:rsid w:val="00550FA4"/>
    <w:pPr>
      <w:widowControl w:val="0"/>
      <w:shd w:val="clear" w:color="auto" w:fill="FFFFFF"/>
      <w:spacing w:after="360" w:line="408" w:lineRule="exact"/>
    </w:pPr>
    <w:rPr>
      <w:rFonts w:ascii="Microsoft Sans Serif" w:hAnsi="Microsoft Sans Serif" w:cs="Microsoft Sans Serif"/>
      <w:sz w:val="19"/>
      <w:szCs w:val="19"/>
    </w:rPr>
  </w:style>
  <w:style w:type="character" w:customStyle="1" w:styleId="10">
    <w:name w:val="Заголовок 1 Знак"/>
    <w:basedOn w:val="a0"/>
    <w:link w:val="1"/>
    <w:uiPriority w:val="9"/>
    <w:rsid w:val="00550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0FA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50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0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rsid w:val="00550FA4"/>
    <w:rPr>
      <w:rFonts w:ascii="Microsoft Sans Serif" w:hAnsi="Microsoft Sans Serif" w:cs="Microsoft Sans Serif"/>
      <w:b/>
      <w:bCs/>
      <w:sz w:val="19"/>
      <w:szCs w:val="19"/>
      <w:shd w:val="clear" w:color="auto" w:fill="FFFFFF"/>
    </w:rPr>
  </w:style>
  <w:style w:type="character" w:customStyle="1" w:styleId="21">
    <w:name w:val="Основной текст (2)_"/>
    <w:link w:val="22"/>
    <w:uiPriority w:val="99"/>
    <w:rsid w:val="00550FA4"/>
    <w:rPr>
      <w:rFonts w:ascii="Microsoft Sans Serif" w:hAnsi="Microsoft Sans Serif" w:cs="Microsoft Sans Serif"/>
      <w:sz w:val="19"/>
      <w:szCs w:val="19"/>
      <w:shd w:val="clear" w:color="auto" w:fill="FFFFFF"/>
    </w:rPr>
  </w:style>
  <w:style w:type="character" w:customStyle="1" w:styleId="2CenturySchoolbook">
    <w:name w:val="Основной текст (2) + Century Schoolbook"/>
    <w:aliases w:val="7,5 pt,Курсив,Интервал -1 pt"/>
    <w:uiPriority w:val="99"/>
    <w:rsid w:val="00550FA4"/>
    <w:rPr>
      <w:rFonts w:ascii="Century Schoolbook" w:hAnsi="Century Schoolbook" w:cs="Century Schoolbook"/>
      <w:i/>
      <w:iCs/>
      <w:spacing w:val="-20"/>
      <w:sz w:val="15"/>
      <w:szCs w:val="15"/>
      <w:shd w:val="clear" w:color="auto" w:fill="FFFFFF"/>
    </w:rPr>
  </w:style>
  <w:style w:type="character" w:customStyle="1" w:styleId="27">
    <w:name w:val="Основной текст (2) + 7"/>
    <w:aliases w:val="5 pt1"/>
    <w:uiPriority w:val="99"/>
    <w:rsid w:val="00550FA4"/>
    <w:rPr>
      <w:rFonts w:ascii="Microsoft Sans Serif" w:hAnsi="Microsoft Sans Serif" w:cs="Microsoft Sans Serif"/>
      <w:sz w:val="15"/>
      <w:szCs w:val="15"/>
      <w:shd w:val="clear" w:color="auto" w:fill="FFFFFF"/>
    </w:rPr>
  </w:style>
  <w:style w:type="paragraph" w:customStyle="1" w:styleId="40">
    <w:name w:val="Основной текст (4)"/>
    <w:basedOn w:val="a"/>
    <w:link w:val="4"/>
    <w:uiPriority w:val="99"/>
    <w:rsid w:val="00550FA4"/>
    <w:pPr>
      <w:widowControl w:val="0"/>
      <w:shd w:val="clear" w:color="auto" w:fill="FFFFFF"/>
      <w:spacing w:before="1140" w:after="600" w:line="240" w:lineRule="atLeast"/>
      <w:jc w:val="both"/>
    </w:pPr>
    <w:rPr>
      <w:rFonts w:ascii="Microsoft Sans Serif" w:hAnsi="Microsoft Sans Serif" w:cs="Microsoft Sans Serif"/>
      <w:b/>
      <w:bCs/>
      <w:sz w:val="19"/>
      <w:szCs w:val="19"/>
    </w:rPr>
  </w:style>
  <w:style w:type="paragraph" w:customStyle="1" w:styleId="22">
    <w:name w:val="Основной текст (2)"/>
    <w:basedOn w:val="a"/>
    <w:link w:val="21"/>
    <w:uiPriority w:val="99"/>
    <w:rsid w:val="00550FA4"/>
    <w:pPr>
      <w:widowControl w:val="0"/>
      <w:shd w:val="clear" w:color="auto" w:fill="FFFFFF"/>
      <w:spacing w:after="360" w:line="408" w:lineRule="exact"/>
    </w:pPr>
    <w:rPr>
      <w:rFonts w:ascii="Microsoft Sans Serif" w:hAnsi="Microsoft Sans Serif" w:cs="Microsoft Sans Serif"/>
      <w:sz w:val="19"/>
      <w:szCs w:val="19"/>
    </w:rPr>
  </w:style>
  <w:style w:type="character" w:customStyle="1" w:styleId="10">
    <w:name w:val="Заголовок 1 Знак"/>
    <w:basedOn w:val="a0"/>
    <w:link w:val="1"/>
    <w:uiPriority w:val="9"/>
    <w:rsid w:val="00550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0FA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5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Monomah</dc:creator>
  <cp:lastModifiedBy>Monomah</cp:lastModifiedBy>
  <cp:revision>4</cp:revision>
  <dcterms:created xsi:type="dcterms:W3CDTF">2016-04-02T19:58:00Z</dcterms:created>
  <dcterms:modified xsi:type="dcterms:W3CDTF">2016-04-07T10:49:00Z</dcterms:modified>
</cp:coreProperties>
</file>